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F3" w:rsidRPr="00DD7EF3" w:rsidRDefault="00DD7EF3" w:rsidP="00DD7EF3">
      <w:pPr>
        <w:spacing w:before="120" w:after="120" w:line="360" w:lineRule="auto"/>
        <w:rPr>
          <w:rFonts w:ascii="Arial" w:hAnsi="Arial"/>
          <w:b/>
          <w:sz w:val="20"/>
          <w:lang w:val="en-GB"/>
        </w:rPr>
      </w:pPr>
      <w:r w:rsidRPr="00DD7EF3">
        <w:rPr>
          <w:rFonts w:ascii="Arial" w:hAnsi="Arial"/>
          <w:b/>
          <w:sz w:val="20"/>
        </w:rPr>
        <w:t xml:space="preserve">What were the ‘Roaring Twenties’ like?  Highlight sections from the extract that you feel capture the </w:t>
      </w:r>
      <w:r w:rsidRPr="00DD7EF3">
        <w:rPr>
          <w:rFonts w:ascii="Arial" w:hAnsi="Arial"/>
          <w:b/>
          <w:bCs/>
          <w:sz w:val="20"/>
        </w:rPr>
        <w:t>spirit</w:t>
      </w:r>
      <w:r w:rsidRPr="00DD7EF3">
        <w:rPr>
          <w:rFonts w:ascii="Arial" w:hAnsi="Arial"/>
          <w:b/>
          <w:sz w:val="20"/>
        </w:rPr>
        <w:t xml:space="preserve"> and </w:t>
      </w:r>
      <w:r w:rsidRPr="00DD7EF3">
        <w:rPr>
          <w:rFonts w:ascii="Arial" w:hAnsi="Arial"/>
          <w:b/>
          <w:bCs/>
          <w:sz w:val="20"/>
        </w:rPr>
        <w:t>mood</w:t>
      </w:r>
      <w:r w:rsidRPr="00DD7EF3">
        <w:rPr>
          <w:rFonts w:ascii="Arial" w:hAnsi="Arial"/>
          <w:b/>
          <w:sz w:val="20"/>
        </w:rPr>
        <w:t xml:space="preserve"> of 1920s America and make a note of your ideas alongside the highlighted sections.  </w:t>
      </w:r>
    </w:p>
    <w:p w:rsidR="00DD7EF3" w:rsidRDefault="00DD7EF3" w:rsidP="00DD7EF3">
      <w:pPr>
        <w:spacing w:before="120" w:after="120" w:line="360" w:lineRule="auto"/>
        <w:rPr>
          <w:rFonts w:ascii="Arial" w:hAnsi="Arial"/>
          <w:b/>
          <w:sz w:val="20"/>
          <w:u w:val="single"/>
        </w:rPr>
      </w:pPr>
      <w:r w:rsidRPr="00DD7EF3">
        <w:rPr>
          <w:rFonts w:ascii="Arial" w:hAnsi="Arial"/>
          <w:b/>
          <w:sz w:val="20"/>
          <w:u w:val="single"/>
        </w:rPr>
        <w:drawing>
          <wp:inline distT="0" distB="0" distL="0" distR="0">
            <wp:extent cx="6362700" cy="284797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4176464"/>
                      <a:chOff x="323528" y="1340768"/>
                      <a:chExt cx="8496944" cy="4176464"/>
                    </a:xfrm>
                  </a:grpSpPr>
                  <a:sp>
                    <a:nvSpPr>
                      <a:cNvPr id="1026" name="Text Box 2"/>
                      <a:cNvSpPr txBox="1">
                        <a:spLocks noChangeArrowheads="1"/>
                      </a:cNvSpPr>
                    </a:nvSpPr>
                    <a:spPr bwMode="auto">
                      <a:xfrm>
                        <a:off x="323528" y="1340768"/>
                        <a:ext cx="8496944" cy="4176464"/>
                      </a:xfrm>
                      <a:prstGeom prst="rect">
                        <a:avLst/>
                      </a:prstGeom>
                      <a:noFill/>
                      <a:ln w="57150" cmpd="thinThick">
                        <a:solidFill>
                          <a:srgbClr val="000000"/>
                        </a:solidFill>
                        <a:miter lim="800000"/>
                        <a:headEnd/>
                        <a:tailEnd/>
                      </a:ln>
                    </a:spPr>
                    <a:txSp>
                      <a:txBody>
                        <a:bodyPr vert="horz" wrap="square" lIns="91440" tIns="91440" rIns="91440" bIns="9144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GB" sz="1600" b="0" i="0" u="none" strike="noStrike" cap="none" normalizeH="0" baseline="0" dirty="0" smtClean="0">
                              <a:ln>
                                <a:noFill/>
                              </a:ln>
                              <a:solidFill>
                                <a:srgbClr val="333333"/>
                              </a:solidFill>
                              <a:effectLst/>
                              <a:latin typeface="Times New Roman" pitchFamily="18" charset="0"/>
                              <a:cs typeface="Arial" pitchFamily="34" charset="0"/>
                            </a:rPr>
                            <a:t>…The bar is in full swing, and floating rounds of cocktails permeate the garden outside, until the air is alive with chatter and laughter, and casual innuendo and introductions forgotten on the spot, and enthusiastic meetings between women who never knew each other's names.</a:t>
                          </a:r>
                        </a:p>
                        <a:p>
                          <a:pPr marL="0" marR="0" lvl="0" indent="0" algn="l" defTabSz="914400" rtl="0" eaLnBrk="1" fontAlgn="base" latinLnBrk="0" hangingPunct="1">
                            <a:lnSpc>
                              <a:spcPct val="100000"/>
                            </a:lnSpc>
                            <a:spcBef>
                              <a:spcPct val="0"/>
                            </a:spcBef>
                            <a:spcAft>
                              <a:spcPts val="1000"/>
                            </a:spcAft>
                            <a:buClrTx/>
                            <a:buSzTx/>
                            <a:buFontTx/>
                            <a:buNone/>
                            <a:tabLst/>
                          </a:pPr>
                          <a:r>
                            <a:rPr kumimoji="0" lang="en-GB" sz="1600" b="0" i="0" u="none" strike="noStrike" cap="none" normalizeH="0" baseline="0" dirty="0" smtClean="0">
                              <a:ln>
                                <a:noFill/>
                              </a:ln>
                              <a:solidFill>
                                <a:srgbClr val="333333"/>
                              </a:solidFill>
                              <a:effectLst/>
                              <a:latin typeface="Times New Roman" pitchFamily="18" charset="0"/>
                              <a:cs typeface="Arial" pitchFamily="34" charset="0"/>
                            </a:rPr>
                            <a:t>The lights grow brighter as the earth lurches away from the sun, and now the orchestra is playing yellow cocktail music, and the opera of voices pitches a key lighter. Laughter is easier minute by minute, spilled and tipped out at a cheerful word. The groups change more swiftly, swell with new arrivals, dissolve and form in the same breath; already there are wanderers, confident girls who weave here and there among the more stable, become for a sharp, joyous moment the centre of a group, and then, excited with triumph, glide on through the sea-change of faces and voices with colour under the constantly changing light.</a:t>
                          </a:r>
                        </a:p>
                        <a:p>
                          <a:pPr marL="0" marR="0" lvl="0" indent="0" algn="l" defTabSz="914400" rtl="0" eaLnBrk="1" fontAlgn="base" latinLnBrk="0" hangingPunct="1">
                            <a:lnSpc>
                              <a:spcPct val="100000"/>
                            </a:lnSpc>
                            <a:spcBef>
                              <a:spcPct val="0"/>
                            </a:spcBef>
                            <a:spcAft>
                              <a:spcPts val="1000"/>
                            </a:spcAft>
                            <a:buClrTx/>
                            <a:buSzTx/>
                            <a:buFontTx/>
                            <a:buNone/>
                            <a:tabLst/>
                          </a:pPr>
                          <a:r>
                            <a:rPr kumimoji="0" lang="en-GB" sz="1600" b="0" i="0" u="none" strike="noStrike" cap="none" normalizeH="0" baseline="0" dirty="0" smtClean="0">
                              <a:ln>
                                <a:noFill/>
                              </a:ln>
                              <a:solidFill>
                                <a:srgbClr val="333333"/>
                              </a:solidFill>
                              <a:effectLst/>
                              <a:latin typeface="Times New Roman" pitchFamily="18" charset="0"/>
                              <a:cs typeface="Arial" pitchFamily="34" charset="0"/>
                            </a:rPr>
                            <a:t>Suddenly one of these gypsies, in trembling opal, seizes a cocktail out of the air, dumps it down for courage and, moving her hands like Frisco, dances out alone on the canvas platform. A momentary hush; the orchestra leader varies his rhythm obligingly for her, and there is a burst of chatter as the erroneous news goes around that she is Gilda Gray's understudy from the Follies. The party has begun.</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inline>
        </w:drawing>
      </w:r>
    </w:p>
    <w:p w:rsidR="00DD7EF3" w:rsidRDefault="00DD7EF3" w:rsidP="00DD7EF3">
      <w:pPr>
        <w:spacing w:before="120" w:after="120" w:line="360" w:lineRule="auto"/>
        <w:rPr>
          <w:rFonts w:ascii="Arial" w:hAnsi="Arial"/>
          <w:b/>
          <w:sz w:val="20"/>
          <w:u w:val="single"/>
        </w:rPr>
      </w:pPr>
    </w:p>
    <w:p w:rsidR="00DD7EF3" w:rsidRPr="00CE4C36" w:rsidRDefault="00DD7EF3" w:rsidP="00DD7EF3">
      <w:pPr>
        <w:spacing w:before="120" w:after="120" w:line="360" w:lineRule="auto"/>
        <w:rPr>
          <w:rFonts w:ascii="Arial" w:hAnsi="Arial"/>
          <w:sz w:val="20"/>
        </w:rPr>
      </w:pPr>
      <w:r w:rsidRPr="00CE4C36">
        <w:rPr>
          <w:rFonts w:ascii="Arial" w:hAnsi="Arial"/>
          <w:b/>
          <w:sz w:val="20"/>
          <w:u w:val="single"/>
        </w:rPr>
        <w:t>The Roaring Twenties / the Jazz Age:</w:t>
      </w:r>
      <w:r w:rsidRPr="00CE4C36">
        <w:rPr>
          <w:rFonts w:ascii="Arial" w:hAnsi="Arial"/>
          <w:sz w:val="20"/>
        </w:rPr>
        <w:t xml:space="preserve">  </w:t>
      </w:r>
    </w:p>
    <w:p w:rsidR="00DD7EF3" w:rsidRPr="00CE4C36" w:rsidRDefault="00DD7EF3" w:rsidP="00DD7EF3">
      <w:pPr>
        <w:numPr>
          <w:ilvl w:val="0"/>
          <w:numId w:val="1"/>
        </w:numPr>
        <w:spacing w:before="120" w:after="120" w:line="360" w:lineRule="auto"/>
        <w:rPr>
          <w:rFonts w:ascii="Arial" w:hAnsi="Arial"/>
          <w:sz w:val="20"/>
        </w:rPr>
      </w:pPr>
      <w:r w:rsidRPr="00CE4C36">
        <w:rPr>
          <w:rFonts w:ascii="Arial" w:hAnsi="Arial"/>
          <w:sz w:val="20"/>
        </w:rPr>
        <w:t xml:space="preserve">For many people in America (especially the cities such as New York and Chicago) the 1920s are years of considerable prosperity.  American goods are protected from competition with imports by high tariffs (customs duties) and Americans are encouraged to buy American produced consumer products such as cars, washing machines, refrigerators and radios.  Henry Ford pioneers the use of the ‘production line’ in his car factories and by 1928 </w:t>
      </w:r>
      <w:proofErr w:type="gramStart"/>
      <w:r w:rsidRPr="00CE4C36">
        <w:rPr>
          <w:rFonts w:ascii="Arial" w:hAnsi="Arial"/>
          <w:sz w:val="20"/>
        </w:rPr>
        <w:t>him</w:t>
      </w:r>
      <w:proofErr w:type="gramEnd"/>
      <w:r w:rsidRPr="00CE4C36">
        <w:rPr>
          <w:rFonts w:ascii="Arial" w:hAnsi="Arial"/>
          <w:sz w:val="20"/>
        </w:rPr>
        <w:t xml:space="preserve"> ‘Model T’ Ford costs only $295, down from $1200 in 1909, and he has sold over 15 million of them.  The increase in car ownership leads to an increase in road building, bringing with it an increase in the number of trucks and buses.</w:t>
      </w:r>
    </w:p>
    <w:p w:rsidR="00DD7EF3" w:rsidRPr="00DD7EF3" w:rsidRDefault="00DD7EF3" w:rsidP="00DD7EF3">
      <w:pPr>
        <w:numPr>
          <w:ilvl w:val="0"/>
          <w:numId w:val="1"/>
        </w:numPr>
        <w:spacing w:before="120" w:after="120" w:line="360" w:lineRule="auto"/>
      </w:pPr>
      <w:r w:rsidRPr="00DD7EF3">
        <w:rPr>
          <w:rFonts w:ascii="Arial" w:hAnsi="Arial"/>
          <w:sz w:val="20"/>
        </w:rPr>
        <w:t xml:space="preserve">It becomes much easier to borrow money to purchase goods, for example through the new ‘hire-purchase’ schemes– getting the goods immediately but paying for them by installments.   People also borrow money to buy shares in American companies.  By 1929 it is possible to borrow 90% of the money needed to buy shares: the idea is that the share price goes up, the owner then sells and pays back the money borrowed to buy the shares out of the money he gets on sale.  This only works if the share price continues to rise.  However, the ‘consumer boom’ meant that the profits of American companies rise dramatically and therefore so do the value of their shares.  Share prices also go up because more and more people want to buy them.   </w:t>
      </w:r>
    </w:p>
    <w:p w:rsidR="004C08ED" w:rsidRDefault="00DD7EF3" w:rsidP="00DD7EF3">
      <w:pPr>
        <w:numPr>
          <w:ilvl w:val="0"/>
          <w:numId w:val="1"/>
        </w:numPr>
        <w:spacing w:before="120" w:after="120" w:line="360" w:lineRule="auto"/>
      </w:pPr>
      <w:r w:rsidRPr="00DD7EF3">
        <w:rPr>
          <w:rFonts w:ascii="Arial" w:hAnsi="Arial"/>
          <w:sz w:val="20"/>
        </w:rPr>
        <w:t xml:space="preserve">This is also the decade when the entertainment industry really takes off, particularly the movies, but also music (especially </w:t>
      </w:r>
      <w:proofErr w:type="gramStart"/>
      <w:r w:rsidRPr="00DD7EF3">
        <w:rPr>
          <w:rFonts w:ascii="Arial" w:hAnsi="Arial"/>
          <w:sz w:val="20"/>
        </w:rPr>
        <w:t>jazz</w:t>
      </w:r>
      <w:proofErr w:type="gramEnd"/>
      <w:r w:rsidRPr="00DD7EF3">
        <w:rPr>
          <w:rFonts w:ascii="Arial" w:hAnsi="Arial"/>
          <w:sz w:val="20"/>
        </w:rPr>
        <w:t>).  Hollywood becomes the centre of the movie production industry and the ‘movie star’ is born, their fame spread by the increasing numbers of tabloid newspapers and magazines.  Stars such as Rudolph Valentino and Clara Bow (the first ‘It’ girl) become household names.  By 1930 100 million tickets to the movies are sold in America every week.  As jazz and swing become the rage dances become more energetic: this is the era of the Charleston and the Black Bottom Stomp.</w:t>
      </w:r>
    </w:p>
    <w:sectPr w:rsidR="004C08ED" w:rsidSect="00DD7EF3">
      <w:pgSz w:w="11906" w:h="16838"/>
      <w:pgMar w:top="993" w:right="849"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A5076"/>
    <w:multiLevelType w:val="hybridMultilevel"/>
    <w:tmpl w:val="846483F6"/>
    <w:lvl w:ilvl="0" w:tplc="7C9A88B8">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D7EF3"/>
    <w:rsid w:val="004C08ED"/>
    <w:rsid w:val="00DD7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Arial)"/>
    <w:qFormat/>
    <w:rsid w:val="00DD7EF3"/>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F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904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2014-08-22T13:09:00Z</dcterms:created>
  <dcterms:modified xsi:type="dcterms:W3CDTF">2014-08-22T13:13:00Z</dcterms:modified>
</cp:coreProperties>
</file>